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1B0DC" w14:textId="77777777" w:rsidR="00853D48" w:rsidRPr="00D40944" w:rsidRDefault="00853D48" w:rsidP="00853D48">
      <w:pPr>
        <w:jc w:val="center"/>
        <w:rPr>
          <w:b/>
          <w:bCs/>
          <w:sz w:val="28"/>
          <w:szCs w:val="28"/>
        </w:rPr>
      </w:pPr>
      <w:r w:rsidRPr="00D40944">
        <w:rPr>
          <w:b/>
          <w:bCs/>
          <w:sz w:val="28"/>
          <w:szCs w:val="28"/>
        </w:rPr>
        <w:t>ATT Working Group Meetings</w:t>
      </w:r>
    </w:p>
    <w:p w14:paraId="700AE5CC" w14:textId="1E903575" w:rsidR="00853D48" w:rsidRPr="00D40944" w:rsidRDefault="00853D48" w:rsidP="00853D48">
      <w:pPr>
        <w:jc w:val="center"/>
        <w:rPr>
          <w:b/>
          <w:bCs/>
          <w:sz w:val="28"/>
          <w:szCs w:val="28"/>
        </w:rPr>
      </w:pPr>
      <w:r w:rsidRPr="00D40944">
        <w:rPr>
          <w:b/>
          <w:bCs/>
          <w:sz w:val="28"/>
          <w:szCs w:val="28"/>
        </w:rPr>
        <w:t xml:space="preserve">Geneva </w:t>
      </w:r>
      <w:r w:rsidR="00231D69">
        <w:rPr>
          <w:b/>
          <w:bCs/>
          <w:sz w:val="28"/>
          <w:szCs w:val="28"/>
        </w:rPr>
        <w:t>March 2026</w:t>
      </w:r>
    </w:p>
    <w:p w14:paraId="6D1EC94E" w14:textId="77777777" w:rsidR="00853D48" w:rsidRPr="00D40944" w:rsidRDefault="00853D48" w:rsidP="00853D48">
      <w:pPr>
        <w:jc w:val="center"/>
        <w:rPr>
          <w:b/>
          <w:bCs/>
          <w:sz w:val="28"/>
          <w:szCs w:val="28"/>
        </w:rPr>
      </w:pPr>
      <w:r w:rsidRPr="00D40944">
        <w:rPr>
          <w:b/>
          <w:bCs/>
          <w:sz w:val="28"/>
          <w:szCs w:val="28"/>
        </w:rPr>
        <w:t xml:space="preserve">Australia - </w:t>
      </w:r>
      <w:r w:rsidRPr="00EE2456">
        <w:rPr>
          <w:b/>
          <w:bCs/>
          <w:sz w:val="28"/>
          <w:szCs w:val="28"/>
        </w:rPr>
        <w:t>Working Group on Transparency and Reporting (WGTR)</w:t>
      </w:r>
    </w:p>
    <w:p w14:paraId="511D9B76" w14:textId="77777777" w:rsidR="00853D48" w:rsidRDefault="00853D48" w:rsidP="00853D48">
      <w:pPr>
        <w:spacing w:after="0"/>
        <w:rPr>
          <w:sz w:val="28"/>
          <w:szCs w:val="28"/>
        </w:rPr>
      </w:pPr>
    </w:p>
    <w:p w14:paraId="758F20BB" w14:textId="4276E8D2" w:rsidR="00231D69" w:rsidRDefault="00231D69" w:rsidP="00853D48">
      <w:pPr>
        <w:spacing w:after="0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Agenda item 2: Supporting compliance with ATT reporting obligations</w:t>
      </w:r>
    </w:p>
    <w:p w14:paraId="1E5ABCE8" w14:textId="77777777" w:rsidR="00931AB8" w:rsidRDefault="00931AB8" w:rsidP="00853D48">
      <w:pPr>
        <w:spacing w:after="0"/>
        <w:rPr>
          <w:sz w:val="28"/>
          <w:szCs w:val="28"/>
          <w:u w:val="single"/>
        </w:rPr>
      </w:pPr>
    </w:p>
    <w:p w14:paraId="42411A5C" w14:textId="4A12917A" w:rsidR="00AC5E67" w:rsidRDefault="00AC5E67" w:rsidP="00270C8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Thank you, </w:t>
      </w:r>
      <w:r w:rsidR="007918BA">
        <w:rPr>
          <w:sz w:val="28"/>
          <w:szCs w:val="28"/>
        </w:rPr>
        <w:t>Chair.</w:t>
      </w:r>
    </w:p>
    <w:p w14:paraId="6DD3CFD2" w14:textId="77777777" w:rsidR="001E43A8" w:rsidRDefault="001E43A8" w:rsidP="00270C80">
      <w:pPr>
        <w:spacing w:after="0"/>
        <w:rPr>
          <w:sz w:val="28"/>
          <w:szCs w:val="28"/>
        </w:rPr>
      </w:pPr>
    </w:p>
    <w:p w14:paraId="697A276C" w14:textId="186FA9F9" w:rsidR="004E2EA9" w:rsidRDefault="00270C80" w:rsidP="00270C80">
      <w:pPr>
        <w:spacing w:after="0"/>
        <w:rPr>
          <w:sz w:val="28"/>
          <w:szCs w:val="28"/>
        </w:rPr>
      </w:pPr>
      <w:r w:rsidRPr="66A0EDE2">
        <w:rPr>
          <w:sz w:val="28"/>
          <w:szCs w:val="28"/>
        </w:rPr>
        <w:t xml:space="preserve">Australia firmly believes that transparency is the foundation upon which trust and confidence between States Parties is built. </w:t>
      </w:r>
    </w:p>
    <w:p w14:paraId="60D5BE55" w14:textId="77777777" w:rsidR="004E2EA9" w:rsidRDefault="004E2EA9" w:rsidP="00270C80">
      <w:pPr>
        <w:spacing w:after="0"/>
        <w:rPr>
          <w:sz w:val="28"/>
          <w:szCs w:val="28"/>
        </w:rPr>
      </w:pPr>
    </w:p>
    <w:p w14:paraId="66FD5293" w14:textId="353E8312" w:rsidR="00270C80" w:rsidRDefault="2748FE1C" w:rsidP="00270C80">
      <w:pPr>
        <w:spacing w:after="0"/>
        <w:rPr>
          <w:sz w:val="28"/>
          <w:szCs w:val="28"/>
        </w:rPr>
      </w:pPr>
      <w:r w:rsidRPr="66A0EDE2">
        <w:rPr>
          <w:sz w:val="28"/>
          <w:szCs w:val="28"/>
        </w:rPr>
        <w:t>Regular</w:t>
      </w:r>
      <w:r w:rsidR="00270C80" w:rsidRPr="66A0EDE2">
        <w:rPr>
          <w:sz w:val="28"/>
          <w:szCs w:val="28"/>
        </w:rPr>
        <w:t xml:space="preserve"> reporting strengthens accountability and supports the effective implementation of th</w:t>
      </w:r>
      <w:r w:rsidR="583DC8C6" w:rsidRPr="66A0EDE2">
        <w:rPr>
          <w:sz w:val="28"/>
          <w:szCs w:val="28"/>
        </w:rPr>
        <w:t>is and other conventional arms</w:t>
      </w:r>
      <w:r w:rsidR="00270C80" w:rsidRPr="66A0EDE2">
        <w:rPr>
          <w:sz w:val="28"/>
          <w:szCs w:val="28"/>
        </w:rPr>
        <w:t xml:space="preserve"> </w:t>
      </w:r>
      <w:r w:rsidR="0150D775" w:rsidRPr="66A0EDE2">
        <w:rPr>
          <w:sz w:val="28"/>
          <w:szCs w:val="28"/>
        </w:rPr>
        <w:t>t</w:t>
      </w:r>
      <w:r w:rsidR="00270C80" w:rsidRPr="66A0EDE2">
        <w:rPr>
          <w:sz w:val="28"/>
          <w:szCs w:val="28"/>
        </w:rPr>
        <w:t>reat</w:t>
      </w:r>
      <w:r w:rsidR="418B1E5C" w:rsidRPr="66A0EDE2">
        <w:rPr>
          <w:sz w:val="28"/>
          <w:szCs w:val="28"/>
        </w:rPr>
        <w:t>ies</w:t>
      </w:r>
      <w:r w:rsidR="00270C80" w:rsidRPr="66A0EDE2">
        <w:rPr>
          <w:sz w:val="28"/>
          <w:szCs w:val="28"/>
        </w:rPr>
        <w:t>.</w:t>
      </w:r>
    </w:p>
    <w:p w14:paraId="5C19F39A" w14:textId="77777777" w:rsidR="004E2EA9" w:rsidRPr="00270C80" w:rsidRDefault="004E2EA9" w:rsidP="00270C80">
      <w:pPr>
        <w:spacing w:after="0"/>
        <w:rPr>
          <w:sz w:val="28"/>
          <w:szCs w:val="28"/>
        </w:rPr>
      </w:pPr>
    </w:p>
    <w:p w14:paraId="7870CF25" w14:textId="64C34091" w:rsidR="00796F73" w:rsidRDefault="4949D400" w:rsidP="00270C80">
      <w:pPr>
        <w:spacing w:after="0"/>
        <w:rPr>
          <w:sz w:val="28"/>
          <w:szCs w:val="28"/>
        </w:rPr>
      </w:pPr>
      <w:r w:rsidRPr="19F2884C">
        <w:rPr>
          <w:sz w:val="28"/>
          <w:szCs w:val="28"/>
        </w:rPr>
        <w:t xml:space="preserve">The ATT’s </w:t>
      </w:r>
      <w:r w:rsidR="00270C80" w:rsidRPr="19F2884C">
        <w:rPr>
          <w:sz w:val="28"/>
          <w:szCs w:val="28"/>
        </w:rPr>
        <w:t xml:space="preserve">Article 13 reporting obligations are essential to achieving these aims. They provide clarity on States’ transfers of conventional arms, </w:t>
      </w:r>
      <w:r w:rsidR="00A204FD" w:rsidRPr="19F2884C">
        <w:rPr>
          <w:sz w:val="28"/>
          <w:szCs w:val="28"/>
        </w:rPr>
        <w:t xml:space="preserve">and </w:t>
      </w:r>
      <w:r w:rsidR="00270C80" w:rsidRPr="19F2884C">
        <w:rPr>
          <w:sz w:val="28"/>
          <w:szCs w:val="28"/>
        </w:rPr>
        <w:t xml:space="preserve">insights into national control systems and progress in implementing relevant laws and regulations. </w:t>
      </w:r>
    </w:p>
    <w:p w14:paraId="78013EB1" w14:textId="77777777" w:rsidR="00796F73" w:rsidRDefault="00796F73" w:rsidP="00270C80">
      <w:pPr>
        <w:spacing w:after="0"/>
        <w:rPr>
          <w:sz w:val="28"/>
          <w:szCs w:val="28"/>
        </w:rPr>
      </w:pPr>
    </w:p>
    <w:p w14:paraId="1F55CA44" w14:textId="5D242652" w:rsidR="00270C80" w:rsidRDefault="00270C80" w:rsidP="00270C80">
      <w:pPr>
        <w:spacing w:after="0"/>
        <w:rPr>
          <w:sz w:val="28"/>
          <w:szCs w:val="28"/>
        </w:rPr>
      </w:pPr>
      <w:r w:rsidRPr="14D4447E">
        <w:rPr>
          <w:sz w:val="28"/>
          <w:szCs w:val="28"/>
        </w:rPr>
        <w:t>Australia has submitted its ATT annual reports every year since the Treaty entered into force in 2014</w:t>
      </w:r>
      <w:r w:rsidR="3602334B" w:rsidRPr="14D4447E">
        <w:rPr>
          <w:sz w:val="28"/>
          <w:szCs w:val="28"/>
        </w:rPr>
        <w:t>.</w:t>
      </w:r>
      <w:r w:rsidRPr="14D4447E">
        <w:rPr>
          <w:sz w:val="28"/>
          <w:szCs w:val="28"/>
        </w:rPr>
        <w:t xml:space="preserve"> </w:t>
      </w:r>
      <w:r w:rsidR="096B54C8" w:rsidRPr="14D4447E">
        <w:rPr>
          <w:sz w:val="28"/>
          <w:szCs w:val="28"/>
        </w:rPr>
        <w:t>T</w:t>
      </w:r>
      <w:r w:rsidR="4F31E183" w:rsidRPr="14D4447E">
        <w:rPr>
          <w:sz w:val="28"/>
          <w:szCs w:val="28"/>
        </w:rPr>
        <w:t>hese</w:t>
      </w:r>
      <w:r w:rsidR="36F4CA8B" w:rsidRPr="14D4447E">
        <w:rPr>
          <w:sz w:val="28"/>
          <w:szCs w:val="28"/>
        </w:rPr>
        <w:t xml:space="preserve"> </w:t>
      </w:r>
      <w:r w:rsidRPr="14D4447E">
        <w:rPr>
          <w:sz w:val="28"/>
          <w:szCs w:val="28"/>
        </w:rPr>
        <w:t>reports</w:t>
      </w:r>
      <w:r w:rsidR="5452BFB3" w:rsidRPr="14D4447E">
        <w:rPr>
          <w:sz w:val="28"/>
          <w:szCs w:val="28"/>
        </w:rPr>
        <w:t xml:space="preserve"> are</w:t>
      </w:r>
      <w:r w:rsidRPr="14D4447E">
        <w:rPr>
          <w:sz w:val="28"/>
          <w:szCs w:val="28"/>
        </w:rPr>
        <w:t xml:space="preserve"> publicly available</w:t>
      </w:r>
      <w:r w:rsidR="5C4E39E6" w:rsidRPr="14D4447E">
        <w:rPr>
          <w:sz w:val="28"/>
          <w:szCs w:val="28"/>
        </w:rPr>
        <w:t xml:space="preserve"> on the ATT website</w:t>
      </w:r>
      <w:r w:rsidRPr="14D4447E">
        <w:rPr>
          <w:sz w:val="28"/>
          <w:szCs w:val="28"/>
        </w:rPr>
        <w:t>.</w:t>
      </w:r>
    </w:p>
    <w:p w14:paraId="398D404D" w14:textId="77777777" w:rsidR="00796F73" w:rsidRPr="00270C80" w:rsidRDefault="00796F73" w:rsidP="00270C80">
      <w:pPr>
        <w:spacing w:after="0"/>
        <w:rPr>
          <w:sz w:val="28"/>
          <w:szCs w:val="28"/>
        </w:rPr>
      </w:pPr>
    </w:p>
    <w:p w14:paraId="2E4FF1AF" w14:textId="10A4AA89" w:rsidR="001C7148" w:rsidRDefault="00270C80" w:rsidP="00270C80">
      <w:pPr>
        <w:spacing w:after="0"/>
        <w:rPr>
          <w:sz w:val="28"/>
          <w:szCs w:val="28"/>
        </w:rPr>
      </w:pPr>
      <w:r w:rsidRPr="19F2884C">
        <w:rPr>
          <w:sz w:val="28"/>
          <w:szCs w:val="28"/>
        </w:rPr>
        <w:t>We thank the Working Group on Transparency and Reporting</w:t>
      </w:r>
      <w:r w:rsidR="00460F87" w:rsidRPr="19F2884C">
        <w:rPr>
          <w:sz w:val="28"/>
          <w:szCs w:val="28"/>
        </w:rPr>
        <w:t xml:space="preserve"> </w:t>
      </w:r>
      <w:r w:rsidRPr="19F2884C">
        <w:rPr>
          <w:sz w:val="28"/>
          <w:szCs w:val="28"/>
        </w:rPr>
        <w:t xml:space="preserve">for its work and welcome </w:t>
      </w:r>
      <w:r w:rsidR="007339B3" w:rsidRPr="19F2884C">
        <w:rPr>
          <w:sz w:val="28"/>
          <w:szCs w:val="28"/>
        </w:rPr>
        <w:t>the list of</w:t>
      </w:r>
      <w:r w:rsidR="00460F87" w:rsidRPr="19F2884C">
        <w:rPr>
          <w:sz w:val="28"/>
          <w:szCs w:val="28"/>
        </w:rPr>
        <w:t xml:space="preserve"> practical questions to </w:t>
      </w:r>
      <w:r w:rsidR="00AD5781" w:rsidRPr="19F2884C">
        <w:rPr>
          <w:sz w:val="28"/>
          <w:szCs w:val="28"/>
        </w:rPr>
        <w:t>assist</w:t>
      </w:r>
      <w:r w:rsidR="00460F87" w:rsidRPr="19F2884C">
        <w:rPr>
          <w:sz w:val="28"/>
          <w:szCs w:val="28"/>
        </w:rPr>
        <w:t xml:space="preserve"> States Parties’ </w:t>
      </w:r>
      <w:r w:rsidR="0C1F276D" w:rsidRPr="19F2884C">
        <w:rPr>
          <w:sz w:val="28"/>
          <w:szCs w:val="28"/>
        </w:rPr>
        <w:t xml:space="preserve">to </w:t>
      </w:r>
      <w:r w:rsidR="00460F87" w:rsidRPr="19F2884C">
        <w:rPr>
          <w:sz w:val="28"/>
          <w:szCs w:val="28"/>
        </w:rPr>
        <w:t>engage on this topic.</w:t>
      </w:r>
    </w:p>
    <w:p w14:paraId="374ED507" w14:textId="77777777" w:rsidR="005A5E70" w:rsidRDefault="005A5E70" w:rsidP="00270C80">
      <w:pPr>
        <w:spacing w:after="0"/>
        <w:rPr>
          <w:sz w:val="28"/>
          <w:szCs w:val="28"/>
        </w:rPr>
      </w:pPr>
    </w:p>
    <w:p w14:paraId="01CB15D9" w14:textId="100641F7" w:rsidR="00203CE2" w:rsidRDefault="2818EB8B" w:rsidP="00270C80">
      <w:pPr>
        <w:spacing w:after="0"/>
        <w:rPr>
          <w:sz w:val="28"/>
          <w:szCs w:val="28"/>
        </w:rPr>
      </w:pPr>
      <w:r w:rsidRPr="02606789">
        <w:rPr>
          <w:sz w:val="28"/>
          <w:szCs w:val="28"/>
        </w:rPr>
        <w:t>We share the Working Group’s view that we can work together to</w:t>
      </w:r>
      <w:r w:rsidR="0026104D" w:rsidRPr="02606789">
        <w:rPr>
          <w:sz w:val="28"/>
          <w:szCs w:val="28"/>
        </w:rPr>
        <w:t xml:space="preserve"> improve</w:t>
      </w:r>
      <w:r w:rsidR="00CE682A" w:rsidRPr="02606789">
        <w:rPr>
          <w:sz w:val="28"/>
          <w:szCs w:val="28"/>
        </w:rPr>
        <w:t xml:space="preserve"> annual reporting rates</w:t>
      </w:r>
      <w:r w:rsidR="00EC3EC7" w:rsidRPr="02606789">
        <w:rPr>
          <w:sz w:val="28"/>
          <w:szCs w:val="28"/>
        </w:rPr>
        <w:t>,</w:t>
      </w:r>
      <w:r w:rsidR="00704D01" w:rsidRPr="02606789">
        <w:rPr>
          <w:sz w:val="28"/>
          <w:szCs w:val="28"/>
        </w:rPr>
        <w:t xml:space="preserve"> and enhance the quality and usefulness of reports. </w:t>
      </w:r>
    </w:p>
    <w:p w14:paraId="07FC247B" w14:textId="193764DF" w:rsidR="19F2884C" w:rsidRDefault="19F2884C" w:rsidP="19F2884C">
      <w:pPr>
        <w:spacing w:after="0"/>
        <w:rPr>
          <w:sz w:val="28"/>
          <w:szCs w:val="28"/>
        </w:rPr>
      </w:pPr>
    </w:p>
    <w:p w14:paraId="393D45A8" w14:textId="21EE5FCE" w:rsidR="00270C80" w:rsidRDefault="00171B96" w:rsidP="00270C80">
      <w:pPr>
        <w:spacing w:after="0"/>
        <w:rPr>
          <w:sz w:val="28"/>
          <w:szCs w:val="28"/>
        </w:rPr>
      </w:pPr>
      <w:r w:rsidRPr="19F2884C">
        <w:rPr>
          <w:sz w:val="28"/>
          <w:szCs w:val="28"/>
        </w:rPr>
        <w:t xml:space="preserve">We encourage all States Parties to meet their obligations and to make their reports publicly accessible. </w:t>
      </w:r>
      <w:r w:rsidR="00270C80" w:rsidRPr="19F2884C">
        <w:rPr>
          <w:sz w:val="28"/>
          <w:szCs w:val="28"/>
        </w:rPr>
        <w:t xml:space="preserve">Restricting public access undermines the spirit of transparency that all States Parties have committed to uphold. </w:t>
      </w:r>
    </w:p>
    <w:p w14:paraId="6E7F18EB" w14:textId="77777777" w:rsidR="0068064F" w:rsidRPr="00270C80" w:rsidRDefault="0068064F" w:rsidP="00270C80">
      <w:pPr>
        <w:spacing w:after="0"/>
        <w:rPr>
          <w:sz w:val="28"/>
          <w:szCs w:val="28"/>
        </w:rPr>
      </w:pPr>
    </w:p>
    <w:p w14:paraId="32D7985B" w14:textId="408C569F" w:rsidR="007E2FAE" w:rsidRDefault="00270C80" w:rsidP="00270C80">
      <w:pPr>
        <w:spacing w:after="0"/>
        <w:rPr>
          <w:sz w:val="28"/>
          <w:szCs w:val="28"/>
        </w:rPr>
      </w:pPr>
      <w:r w:rsidRPr="19F2884C">
        <w:rPr>
          <w:sz w:val="28"/>
          <w:szCs w:val="28"/>
        </w:rPr>
        <w:lastRenderedPageBreak/>
        <w:t xml:space="preserve">Australia recognises that </w:t>
      </w:r>
      <w:r w:rsidR="00046914" w:rsidRPr="19F2884C">
        <w:rPr>
          <w:sz w:val="28"/>
          <w:szCs w:val="28"/>
        </w:rPr>
        <w:t>building</w:t>
      </w:r>
      <w:r w:rsidR="00C14943" w:rsidRPr="19F2884C">
        <w:rPr>
          <w:sz w:val="28"/>
          <w:szCs w:val="28"/>
        </w:rPr>
        <w:t xml:space="preserve"> </w:t>
      </w:r>
      <w:r w:rsidR="007208E5" w:rsidRPr="19F2884C">
        <w:rPr>
          <w:sz w:val="28"/>
          <w:szCs w:val="28"/>
        </w:rPr>
        <w:t xml:space="preserve">institutional capacity </w:t>
      </w:r>
      <w:r w:rsidR="00046914" w:rsidRPr="19F2884C">
        <w:rPr>
          <w:sz w:val="28"/>
          <w:szCs w:val="28"/>
        </w:rPr>
        <w:t>is critical to meeting Article 13 obligations</w:t>
      </w:r>
      <w:r w:rsidRPr="19F2884C">
        <w:rPr>
          <w:sz w:val="28"/>
          <w:szCs w:val="28"/>
        </w:rPr>
        <w:t xml:space="preserve">, especially when data must be drawn from multiple agencies. We welcome efforts to strengthen interagency cooperation and to provide practical support to States Parties. </w:t>
      </w:r>
    </w:p>
    <w:p w14:paraId="1A54D9C9" w14:textId="77777777" w:rsidR="00203F35" w:rsidRDefault="00203F35" w:rsidP="00270C80">
      <w:pPr>
        <w:spacing w:after="0"/>
        <w:rPr>
          <w:sz w:val="28"/>
          <w:szCs w:val="28"/>
        </w:rPr>
      </w:pPr>
    </w:p>
    <w:p w14:paraId="5628F077" w14:textId="5B331EBF" w:rsidR="00C754E8" w:rsidRDefault="6C3EDA5B" w:rsidP="00270C80">
      <w:pPr>
        <w:spacing w:after="0"/>
        <w:rPr>
          <w:sz w:val="28"/>
          <w:szCs w:val="28"/>
        </w:rPr>
      </w:pPr>
      <w:r w:rsidRPr="19F2884C">
        <w:rPr>
          <w:sz w:val="28"/>
          <w:szCs w:val="28"/>
        </w:rPr>
        <w:t xml:space="preserve">Australia’s 2025 </w:t>
      </w:r>
      <w:r w:rsidR="18B5D30F" w:rsidRPr="19F2884C">
        <w:rPr>
          <w:sz w:val="28"/>
          <w:szCs w:val="28"/>
        </w:rPr>
        <w:t xml:space="preserve">transparency </w:t>
      </w:r>
      <w:r w:rsidRPr="19F2884C">
        <w:rPr>
          <w:sz w:val="28"/>
          <w:szCs w:val="28"/>
        </w:rPr>
        <w:t>working paper</w:t>
      </w:r>
      <w:r w:rsidR="516FCBD4" w:rsidRPr="19F2884C">
        <w:rPr>
          <w:sz w:val="28"/>
          <w:szCs w:val="28"/>
        </w:rPr>
        <w:t>s</w:t>
      </w:r>
      <w:r w:rsidRPr="19F2884C">
        <w:rPr>
          <w:sz w:val="28"/>
          <w:szCs w:val="28"/>
        </w:rPr>
        <w:t xml:space="preserve"> </w:t>
      </w:r>
      <w:r w:rsidR="253887B4" w:rsidRPr="19F2884C">
        <w:rPr>
          <w:sz w:val="28"/>
          <w:szCs w:val="28"/>
        </w:rPr>
        <w:t>to the CCM</w:t>
      </w:r>
      <w:r w:rsidR="664297F4" w:rsidRPr="19F2884C">
        <w:rPr>
          <w:sz w:val="28"/>
          <w:szCs w:val="28"/>
        </w:rPr>
        <w:t xml:space="preserve"> and the Anti-Personnel Mine Ban Convention, </w:t>
      </w:r>
      <w:r w:rsidR="000E7E13" w:rsidRPr="19F2884C">
        <w:rPr>
          <w:sz w:val="28"/>
          <w:szCs w:val="28"/>
        </w:rPr>
        <w:t xml:space="preserve">contained </w:t>
      </w:r>
      <w:proofErr w:type="gramStart"/>
      <w:r w:rsidR="000E7E13" w:rsidRPr="19F2884C">
        <w:rPr>
          <w:sz w:val="28"/>
          <w:szCs w:val="28"/>
        </w:rPr>
        <w:t>a number of</w:t>
      </w:r>
      <w:proofErr w:type="gramEnd"/>
      <w:r w:rsidR="000E7E13" w:rsidRPr="19F2884C">
        <w:rPr>
          <w:sz w:val="28"/>
          <w:szCs w:val="28"/>
        </w:rPr>
        <w:t xml:space="preserve"> recommendations. Taking forward these recommendations, we </w:t>
      </w:r>
      <w:r w:rsidR="5B430C92" w:rsidRPr="19F2884C">
        <w:rPr>
          <w:sz w:val="28"/>
          <w:szCs w:val="28"/>
        </w:rPr>
        <w:t xml:space="preserve">recently undertook two initiatives to support improved transparency reporting across </w:t>
      </w:r>
      <w:r w:rsidR="42597E50" w:rsidRPr="19F2884C">
        <w:rPr>
          <w:sz w:val="28"/>
          <w:szCs w:val="28"/>
        </w:rPr>
        <w:t>conventional</w:t>
      </w:r>
      <w:r w:rsidR="5B430C92" w:rsidRPr="19F2884C">
        <w:rPr>
          <w:sz w:val="28"/>
          <w:szCs w:val="28"/>
        </w:rPr>
        <w:t xml:space="preserve"> arms control </w:t>
      </w:r>
      <w:r w:rsidR="11B92DEA" w:rsidRPr="19F2884C">
        <w:rPr>
          <w:sz w:val="28"/>
          <w:szCs w:val="28"/>
        </w:rPr>
        <w:t>instruments</w:t>
      </w:r>
      <w:r w:rsidR="5B430C92" w:rsidRPr="19F2884C">
        <w:rPr>
          <w:sz w:val="28"/>
          <w:szCs w:val="28"/>
        </w:rPr>
        <w:t>.</w:t>
      </w:r>
    </w:p>
    <w:p w14:paraId="5892F534" w14:textId="77777777" w:rsidR="004F24A4" w:rsidRDefault="004F24A4" w:rsidP="00270C80">
      <w:pPr>
        <w:spacing w:after="0"/>
        <w:rPr>
          <w:sz w:val="28"/>
          <w:szCs w:val="28"/>
        </w:rPr>
      </w:pPr>
    </w:p>
    <w:p w14:paraId="5DB90D0E" w14:textId="411448B7" w:rsidR="004F24A4" w:rsidRDefault="004F24A4" w:rsidP="004F24A4">
      <w:pPr>
        <w:spacing w:after="0"/>
        <w:rPr>
          <w:sz w:val="28"/>
          <w:szCs w:val="28"/>
        </w:rPr>
      </w:pPr>
      <w:r>
        <w:rPr>
          <w:sz w:val="28"/>
          <w:szCs w:val="28"/>
        </w:rPr>
        <w:t>O</w:t>
      </w:r>
      <w:r w:rsidRPr="66A0EDE2">
        <w:rPr>
          <w:sz w:val="28"/>
          <w:szCs w:val="28"/>
        </w:rPr>
        <w:t xml:space="preserve">n 10 February, Australia circulated a consolidated calendar outlining reporting obligations and deadlines across key conventional arms control instruments. This tool is intended to </w:t>
      </w:r>
      <w:r w:rsidR="0012434C">
        <w:rPr>
          <w:sz w:val="28"/>
          <w:szCs w:val="28"/>
        </w:rPr>
        <w:t>raise</w:t>
      </w:r>
      <w:r w:rsidRPr="66A0EDE2">
        <w:rPr>
          <w:sz w:val="28"/>
          <w:szCs w:val="28"/>
        </w:rPr>
        <w:t xml:space="preserve"> States</w:t>
      </w:r>
      <w:r w:rsidR="0012434C">
        <w:rPr>
          <w:sz w:val="28"/>
          <w:szCs w:val="28"/>
        </w:rPr>
        <w:t xml:space="preserve">’ awareness of their </w:t>
      </w:r>
      <w:r w:rsidRPr="66A0EDE2">
        <w:rPr>
          <w:sz w:val="28"/>
          <w:szCs w:val="28"/>
        </w:rPr>
        <w:t>reporting requirements</w:t>
      </w:r>
      <w:r w:rsidR="00EB0E47">
        <w:rPr>
          <w:sz w:val="28"/>
          <w:szCs w:val="28"/>
        </w:rPr>
        <w:t>, and to support compliance.</w:t>
      </w:r>
    </w:p>
    <w:p w14:paraId="53A7B9C2" w14:textId="77777777" w:rsidR="00F3774E" w:rsidRDefault="00F3774E" w:rsidP="00270C80">
      <w:pPr>
        <w:spacing w:after="0"/>
        <w:rPr>
          <w:sz w:val="28"/>
          <w:szCs w:val="28"/>
        </w:rPr>
      </w:pPr>
    </w:p>
    <w:p w14:paraId="5347B0E8" w14:textId="5CBE3EFB" w:rsidR="00CF2F1C" w:rsidRDefault="00EB0E47" w:rsidP="00270C80">
      <w:pPr>
        <w:spacing w:after="0"/>
        <w:rPr>
          <w:sz w:val="28"/>
          <w:szCs w:val="28"/>
        </w:rPr>
      </w:pPr>
      <w:r w:rsidRPr="19F2884C">
        <w:rPr>
          <w:sz w:val="28"/>
          <w:szCs w:val="28"/>
        </w:rPr>
        <w:t>Our second initiative</w:t>
      </w:r>
      <w:r w:rsidR="00811F70" w:rsidRPr="19F2884C">
        <w:rPr>
          <w:sz w:val="28"/>
          <w:szCs w:val="28"/>
        </w:rPr>
        <w:t xml:space="preserve"> was </w:t>
      </w:r>
      <w:r w:rsidR="00E54A68" w:rsidRPr="19F2884C">
        <w:rPr>
          <w:sz w:val="28"/>
          <w:szCs w:val="28"/>
        </w:rPr>
        <w:t>a workshop</w:t>
      </w:r>
      <w:r w:rsidR="00E94547" w:rsidRPr="19F2884C">
        <w:rPr>
          <w:sz w:val="28"/>
          <w:szCs w:val="28"/>
        </w:rPr>
        <w:t xml:space="preserve"> </w:t>
      </w:r>
      <w:r w:rsidR="00811F70" w:rsidRPr="19F2884C">
        <w:rPr>
          <w:sz w:val="28"/>
          <w:szCs w:val="28"/>
        </w:rPr>
        <w:t xml:space="preserve">in February </w:t>
      </w:r>
      <w:r w:rsidR="00E94547" w:rsidRPr="19F2884C">
        <w:rPr>
          <w:sz w:val="28"/>
          <w:szCs w:val="28"/>
        </w:rPr>
        <w:t>on enhancing transparency reporting</w:t>
      </w:r>
      <w:r w:rsidR="000C4F09" w:rsidRPr="19F2884C">
        <w:rPr>
          <w:sz w:val="28"/>
          <w:szCs w:val="28"/>
        </w:rPr>
        <w:t xml:space="preserve">. </w:t>
      </w:r>
      <w:r w:rsidR="0016751D" w:rsidRPr="19F2884C">
        <w:rPr>
          <w:sz w:val="28"/>
          <w:szCs w:val="28"/>
        </w:rPr>
        <w:t>States</w:t>
      </w:r>
      <w:r w:rsidR="00872A84" w:rsidRPr="19F2884C">
        <w:rPr>
          <w:sz w:val="28"/>
          <w:szCs w:val="28"/>
        </w:rPr>
        <w:t xml:space="preserve"> </w:t>
      </w:r>
      <w:r w:rsidR="0016751D" w:rsidRPr="19F2884C">
        <w:rPr>
          <w:sz w:val="28"/>
          <w:szCs w:val="28"/>
        </w:rPr>
        <w:t xml:space="preserve">and the Secretariats and Implementation Support Units of relevant arms control treaties </w:t>
      </w:r>
      <w:r w:rsidR="000E4D75" w:rsidRPr="19F2884C">
        <w:rPr>
          <w:sz w:val="28"/>
          <w:szCs w:val="28"/>
        </w:rPr>
        <w:t xml:space="preserve">came together </w:t>
      </w:r>
      <w:r w:rsidR="0016751D" w:rsidRPr="19F2884C">
        <w:rPr>
          <w:sz w:val="28"/>
          <w:szCs w:val="28"/>
        </w:rPr>
        <w:t xml:space="preserve">to </w:t>
      </w:r>
      <w:r w:rsidR="458F9873" w:rsidRPr="19F2884C">
        <w:rPr>
          <w:sz w:val="28"/>
          <w:szCs w:val="28"/>
        </w:rPr>
        <w:t>discuss how to</w:t>
      </w:r>
      <w:r w:rsidR="001B053F" w:rsidRPr="19F2884C">
        <w:rPr>
          <w:sz w:val="28"/>
          <w:szCs w:val="28"/>
        </w:rPr>
        <w:t xml:space="preserve"> improv</w:t>
      </w:r>
      <w:r w:rsidR="1AAC4342" w:rsidRPr="19F2884C">
        <w:rPr>
          <w:sz w:val="28"/>
          <w:szCs w:val="28"/>
        </w:rPr>
        <w:t>e</w:t>
      </w:r>
      <w:r w:rsidR="001B053F" w:rsidRPr="19F2884C">
        <w:rPr>
          <w:sz w:val="28"/>
          <w:szCs w:val="28"/>
        </w:rPr>
        <w:t xml:space="preserve"> transparency reporting outcom</w:t>
      </w:r>
      <w:r w:rsidR="00FF2461" w:rsidRPr="19F2884C">
        <w:rPr>
          <w:sz w:val="28"/>
          <w:szCs w:val="28"/>
        </w:rPr>
        <w:t xml:space="preserve">es. Participants identified </w:t>
      </w:r>
      <w:r w:rsidR="2807FA11" w:rsidRPr="19F2884C">
        <w:rPr>
          <w:sz w:val="28"/>
          <w:szCs w:val="28"/>
        </w:rPr>
        <w:t>initiatives</w:t>
      </w:r>
      <w:r w:rsidR="00FF2461" w:rsidRPr="19F2884C">
        <w:rPr>
          <w:sz w:val="28"/>
          <w:szCs w:val="28"/>
        </w:rPr>
        <w:t xml:space="preserve"> that could drive enhanced outcomes with limited</w:t>
      </w:r>
      <w:r w:rsidR="002C78D3" w:rsidRPr="19F2884C">
        <w:rPr>
          <w:sz w:val="28"/>
          <w:szCs w:val="28"/>
        </w:rPr>
        <w:t xml:space="preserve"> </w:t>
      </w:r>
      <w:r w:rsidR="00905227" w:rsidRPr="19F2884C">
        <w:rPr>
          <w:sz w:val="28"/>
          <w:szCs w:val="28"/>
        </w:rPr>
        <w:t>investment of resources such as:</w:t>
      </w:r>
      <w:r w:rsidR="002C74B1" w:rsidRPr="19F2884C">
        <w:rPr>
          <w:sz w:val="28"/>
          <w:szCs w:val="28"/>
        </w:rPr>
        <w:t xml:space="preserve"> </w:t>
      </w:r>
    </w:p>
    <w:p w14:paraId="46C9AB97" w14:textId="77777777" w:rsidR="002C74B1" w:rsidRDefault="002C74B1" w:rsidP="00270C80">
      <w:pPr>
        <w:spacing w:after="0"/>
        <w:rPr>
          <w:sz w:val="28"/>
          <w:szCs w:val="28"/>
        </w:rPr>
      </w:pPr>
    </w:p>
    <w:p w14:paraId="16AEE966" w14:textId="32C189B3" w:rsidR="002C74B1" w:rsidRDefault="002C74B1" w:rsidP="002C74B1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deeper coordination with national focal points </w:t>
      </w:r>
    </w:p>
    <w:p w14:paraId="62F2E7AE" w14:textId="4E7CAC6B" w:rsidR="00A031BD" w:rsidRDefault="00A031BD" w:rsidP="002C74B1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improved guidance and templates</w:t>
      </w:r>
    </w:p>
    <w:p w14:paraId="715DFAA8" w14:textId="2800BDA2" w:rsidR="00A031BD" w:rsidRDefault="00A031BD" w:rsidP="002C74B1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targeted capacity-building</w:t>
      </w:r>
    </w:p>
    <w:p w14:paraId="239B7C0F" w14:textId="427D0F27" w:rsidR="004D6168" w:rsidRDefault="004D6168" w:rsidP="002C74B1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demonstrat</w:t>
      </w:r>
      <w:r w:rsidR="002D198D">
        <w:rPr>
          <w:sz w:val="28"/>
          <w:szCs w:val="28"/>
        </w:rPr>
        <w:t xml:space="preserve">ing </w:t>
      </w:r>
      <w:r w:rsidR="00E854E7">
        <w:rPr>
          <w:sz w:val="28"/>
          <w:szCs w:val="28"/>
        </w:rPr>
        <w:t>the value of transparency reports, and</w:t>
      </w:r>
    </w:p>
    <w:p w14:paraId="4E170C72" w14:textId="4655BBAD" w:rsidR="00E854E7" w:rsidRPr="00A50CF7" w:rsidRDefault="00E854E7" w:rsidP="00A50CF7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avoiding</w:t>
      </w:r>
      <w:r w:rsidR="00172BBE">
        <w:rPr>
          <w:sz w:val="28"/>
          <w:szCs w:val="28"/>
        </w:rPr>
        <w:t xml:space="preserve"> the</w:t>
      </w:r>
      <w:r>
        <w:rPr>
          <w:sz w:val="28"/>
          <w:szCs w:val="28"/>
        </w:rPr>
        <w:t xml:space="preserve"> </w:t>
      </w:r>
      <w:r w:rsidR="00DD0064">
        <w:rPr>
          <w:sz w:val="28"/>
          <w:szCs w:val="28"/>
        </w:rPr>
        <w:t xml:space="preserve">creation of additional reporting obligations. </w:t>
      </w:r>
    </w:p>
    <w:p w14:paraId="42DBD42C" w14:textId="77777777" w:rsidR="0016751D" w:rsidRDefault="0016751D" w:rsidP="00270C80">
      <w:pPr>
        <w:spacing w:after="0"/>
        <w:rPr>
          <w:sz w:val="28"/>
          <w:szCs w:val="28"/>
        </w:rPr>
      </w:pPr>
    </w:p>
    <w:p w14:paraId="4225B7C2" w14:textId="0B8BA2ED" w:rsidR="00270C80" w:rsidRDefault="00012818" w:rsidP="00270C80">
      <w:pPr>
        <w:spacing w:after="0"/>
        <w:rPr>
          <w:sz w:val="28"/>
          <w:szCs w:val="28"/>
        </w:rPr>
      </w:pPr>
      <w:r w:rsidRPr="6E1BFB9C">
        <w:rPr>
          <w:sz w:val="28"/>
          <w:szCs w:val="28"/>
        </w:rPr>
        <w:t>Fina</w:t>
      </w:r>
      <w:r w:rsidR="00534FD3" w:rsidRPr="6E1BFB9C">
        <w:rPr>
          <w:sz w:val="28"/>
          <w:szCs w:val="28"/>
        </w:rPr>
        <w:t>lly, we would like to express our appreciation for</w:t>
      </w:r>
      <w:r w:rsidR="00270C80" w:rsidRPr="6E1BFB9C">
        <w:rPr>
          <w:sz w:val="28"/>
          <w:szCs w:val="28"/>
        </w:rPr>
        <w:t xml:space="preserve"> the contributions of civil society and research organisations, including the Stimson Center and UNIDIR, whose work has deepened our understanding of reporting challenges and opportunities </w:t>
      </w:r>
      <w:r w:rsidR="54D92331" w:rsidRPr="6E1BFB9C">
        <w:rPr>
          <w:sz w:val="28"/>
          <w:szCs w:val="28"/>
        </w:rPr>
        <w:t xml:space="preserve">for </w:t>
      </w:r>
      <w:r w:rsidR="00270C80" w:rsidRPr="6E1BFB9C">
        <w:rPr>
          <w:sz w:val="28"/>
          <w:szCs w:val="28"/>
        </w:rPr>
        <w:t>improve</w:t>
      </w:r>
      <w:r w:rsidR="69F37547" w:rsidRPr="6E1BFB9C">
        <w:rPr>
          <w:sz w:val="28"/>
          <w:szCs w:val="28"/>
        </w:rPr>
        <w:t>ment</w:t>
      </w:r>
      <w:r w:rsidR="00270C80" w:rsidRPr="6E1BFB9C">
        <w:rPr>
          <w:sz w:val="28"/>
          <w:szCs w:val="28"/>
        </w:rPr>
        <w:t xml:space="preserve">. Tools such as the ATT Monitor’s Arms Transfers Dashboard </w:t>
      </w:r>
      <w:r w:rsidR="3515B30D" w:rsidRPr="6E1BFB9C">
        <w:rPr>
          <w:sz w:val="28"/>
          <w:szCs w:val="28"/>
        </w:rPr>
        <w:t xml:space="preserve">also </w:t>
      </w:r>
      <w:r w:rsidR="00270C80" w:rsidRPr="6E1BFB9C">
        <w:rPr>
          <w:sz w:val="28"/>
          <w:szCs w:val="28"/>
        </w:rPr>
        <w:t xml:space="preserve">help build a clearer picture of </w:t>
      </w:r>
      <w:r w:rsidR="00270C80" w:rsidRPr="6E1BFB9C">
        <w:rPr>
          <w:sz w:val="28"/>
          <w:szCs w:val="28"/>
        </w:rPr>
        <w:lastRenderedPageBreak/>
        <w:t xml:space="preserve">global, regional and bilateral </w:t>
      </w:r>
      <w:r w:rsidR="39B3A35D" w:rsidRPr="6E1BFB9C">
        <w:rPr>
          <w:sz w:val="28"/>
          <w:szCs w:val="28"/>
        </w:rPr>
        <w:t xml:space="preserve">arms </w:t>
      </w:r>
      <w:r w:rsidR="00270C80" w:rsidRPr="6E1BFB9C">
        <w:rPr>
          <w:sz w:val="28"/>
          <w:szCs w:val="28"/>
        </w:rPr>
        <w:t>trade.</w:t>
      </w:r>
      <w:r w:rsidR="004915D0" w:rsidRPr="6E1BFB9C">
        <w:rPr>
          <w:sz w:val="28"/>
          <w:szCs w:val="28"/>
        </w:rPr>
        <w:t xml:space="preserve"> </w:t>
      </w:r>
      <w:r w:rsidR="251C9F51" w:rsidRPr="6E1BFB9C">
        <w:rPr>
          <w:sz w:val="28"/>
          <w:szCs w:val="28"/>
        </w:rPr>
        <w:t xml:space="preserve">These resources also support States to analyse </w:t>
      </w:r>
      <w:r w:rsidR="4B90F25D" w:rsidRPr="6E1BFB9C">
        <w:rPr>
          <w:sz w:val="28"/>
          <w:szCs w:val="28"/>
        </w:rPr>
        <w:t xml:space="preserve">reporting </w:t>
      </w:r>
      <w:r w:rsidR="251C9F51" w:rsidRPr="6E1BFB9C">
        <w:rPr>
          <w:sz w:val="28"/>
          <w:szCs w:val="28"/>
        </w:rPr>
        <w:t>trends</w:t>
      </w:r>
      <w:r w:rsidR="00D3B1D5" w:rsidRPr="6E1BFB9C">
        <w:rPr>
          <w:sz w:val="28"/>
          <w:szCs w:val="28"/>
        </w:rPr>
        <w:t>.</w:t>
      </w:r>
      <w:r w:rsidR="251C9F51" w:rsidRPr="6E1BFB9C">
        <w:rPr>
          <w:sz w:val="28"/>
          <w:szCs w:val="28"/>
        </w:rPr>
        <w:t xml:space="preserve"> </w:t>
      </w:r>
      <w:r w:rsidR="64D03672" w:rsidRPr="6E1BFB9C">
        <w:rPr>
          <w:sz w:val="28"/>
          <w:szCs w:val="28"/>
        </w:rPr>
        <w:t xml:space="preserve"> </w:t>
      </w:r>
    </w:p>
    <w:p w14:paraId="23650006" w14:textId="77777777" w:rsidR="0061056E" w:rsidRPr="00270C80" w:rsidRDefault="0061056E" w:rsidP="00270C80">
      <w:pPr>
        <w:spacing w:after="0"/>
        <w:rPr>
          <w:sz w:val="28"/>
          <w:szCs w:val="28"/>
        </w:rPr>
      </w:pPr>
    </w:p>
    <w:p w14:paraId="6471A20C" w14:textId="1F2F1F2B" w:rsidR="002F7F5E" w:rsidRDefault="00EA5767" w:rsidP="00270C80">
      <w:pPr>
        <w:spacing w:after="0"/>
        <w:rPr>
          <w:sz w:val="28"/>
          <w:szCs w:val="28"/>
        </w:rPr>
      </w:pPr>
      <w:r>
        <w:rPr>
          <w:sz w:val="28"/>
          <w:szCs w:val="28"/>
        </w:rPr>
        <w:t>Chair,</w:t>
      </w:r>
    </w:p>
    <w:p w14:paraId="3BD73675" w14:textId="77777777" w:rsidR="002F7F5E" w:rsidRDefault="002F7F5E" w:rsidP="00270C80">
      <w:pPr>
        <w:spacing w:after="0"/>
        <w:rPr>
          <w:sz w:val="28"/>
          <w:szCs w:val="28"/>
        </w:rPr>
      </w:pPr>
    </w:p>
    <w:p w14:paraId="00F6F86A" w14:textId="21B1F431" w:rsidR="00270C80" w:rsidRDefault="002F7F5E" w:rsidP="00270C80">
      <w:pPr>
        <w:spacing w:after="0"/>
        <w:rPr>
          <w:sz w:val="28"/>
          <w:szCs w:val="28"/>
        </w:rPr>
      </w:pPr>
      <w:r>
        <w:rPr>
          <w:sz w:val="28"/>
          <w:szCs w:val="28"/>
        </w:rPr>
        <w:t>T</w:t>
      </w:r>
      <w:r w:rsidR="00270C80" w:rsidRPr="00270C80">
        <w:rPr>
          <w:sz w:val="28"/>
          <w:szCs w:val="28"/>
        </w:rPr>
        <w:t>ransparency is central to achieving the object and purpose of our Treaty. While there is no one-size-fits-all approach, we must work together to lift our individual and collective reporting efforts. Australia remains fully committed to supporting that goal.</w:t>
      </w:r>
    </w:p>
    <w:p w14:paraId="518F9268" w14:textId="77777777" w:rsidR="002F7F5E" w:rsidRPr="00270C80" w:rsidRDefault="002F7F5E" w:rsidP="00270C80">
      <w:pPr>
        <w:spacing w:after="0"/>
        <w:rPr>
          <w:sz w:val="28"/>
          <w:szCs w:val="28"/>
        </w:rPr>
      </w:pPr>
    </w:p>
    <w:p w14:paraId="6CEB02E9" w14:textId="44B70065" w:rsidR="00270C80" w:rsidRDefault="00270C80" w:rsidP="0027555A">
      <w:pPr>
        <w:spacing w:after="0"/>
        <w:rPr>
          <w:sz w:val="28"/>
          <w:szCs w:val="28"/>
        </w:rPr>
      </w:pPr>
      <w:r w:rsidRPr="00270C80">
        <w:rPr>
          <w:sz w:val="28"/>
          <w:szCs w:val="28"/>
        </w:rPr>
        <w:t>Thank you.</w:t>
      </w:r>
    </w:p>
    <w:sectPr w:rsidR="00270C80" w:rsidSect="00853D48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7B5F3" w14:textId="77777777" w:rsidR="00B7767F" w:rsidRDefault="00B7767F">
      <w:pPr>
        <w:spacing w:after="0" w:line="240" w:lineRule="auto"/>
      </w:pPr>
      <w:r>
        <w:separator/>
      </w:r>
    </w:p>
  </w:endnote>
  <w:endnote w:type="continuationSeparator" w:id="0">
    <w:p w14:paraId="4D722F05" w14:textId="77777777" w:rsidR="00B7767F" w:rsidRDefault="00B77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39254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994AFF" w14:textId="28302CFA" w:rsidR="00502860" w:rsidRDefault="005028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825B41" w14:textId="77777777" w:rsidR="00853D48" w:rsidRDefault="00853D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B0998" w14:textId="77777777" w:rsidR="00B7767F" w:rsidRDefault="00B7767F">
      <w:pPr>
        <w:spacing w:after="0" w:line="240" w:lineRule="auto"/>
      </w:pPr>
      <w:r>
        <w:separator/>
      </w:r>
    </w:p>
  </w:footnote>
  <w:footnote w:type="continuationSeparator" w:id="0">
    <w:p w14:paraId="33AF1C89" w14:textId="77777777" w:rsidR="00B7767F" w:rsidRDefault="00B77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F3DBF"/>
    <w:multiLevelType w:val="hybridMultilevel"/>
    <w:tmpl w:val="39A0FDFC"/>
    <w:lvl w:ilvl="0" w:tplc="8B024ADC">
      <w:start w:val="1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F2DAA"/>
    <w:multiLevelType w:val="hybridMultilevel"/>
    <w:tmpl w:val="E51C0E40"/>
    <w:lvl w:ilvl="0" w:tplc="C23C031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257056">
    <w:abstractNumId w:val="1"/>
  </w:num>
  <w:num w:numId="2" w16cid:durableId="1295985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48"/>
    <w:rsid w:val="0001161A"/>
    <w:rsid w:val="00012818"/>
    <w:rsid w:val="00013C25"/>
    <w:rsid w:val="0001499D"/>
    <w:rsid w:val="0001CE5E"/>
    <w:rsid w:val="0002513C"/>
    <w:rsid w:val="000266E9"/>
    <w:rsid w:val="00027A60"/>
    <w:rsid w:val="00046914"/>
    <w:rsid w:val="00047481"/>
    <w:rsid w:val="0005572F"/>
    <w:rsid w:val="0007046F"/>
    <w:rsid w:val="00083CE3"/>
    <w:rsid w:val="00083EED"/>
    <w:rsid w:val="000853D5"/>
    <w:rsid w:val="00093BA5"/>
    <w:rsid w:val="000C41AF"/>
    <w:rsid w:val="000C4CDC"/>
    <w:rsid w:val="000C4F09"/>
    <w:rsid w:val="000C697D"/>
    <w:rsid w:val="000E0A89"/>
    <w:rsid w:val="000E4D75"/>
    <w:rsid w:val="000E503F"/>
    <w:rsid w:val="000E7E13"/>
    <w:rsid w:val="000F37A7"/>
    <w:rsid w:val="001215B7"/>
    <w:rsid w:val="0012434C"/>
    <w:rsid w:val="00127214"/>
    <w:rsid w:val="0012744F"/>
    <w:rsid w:val="001463E9"/>
    <w:rsid w:val="00155518"/>
    <w:rsid w:val="001612AD"/>
    <w:rsid w:val="0016751D"/>
    <w:rsid w:val="00171B96"/>
    <w:rsid w:val="00172BBE"/>
    <w:rsid w:val="00195747"/>
    <w:rsid w:val="001A2DE6"/>
    <w:rsid w:val="001B053F"/>
    <w:rsid w:val="001B60C5"/>
    <w:rsid w:val="001C7148"/>
    <w:rsid w:val="001D39A9"/>
    <w:rsid w:val="001D513F"/>
    <w:rsid w:val="001D763F"/>
    <w:rsid w:val="001E43A8"/>
    <w:rsid w:val="001F61AC"/>
    <w:rsid w:val="001F76CE"/>
    <w:rsid w:val="0020157E"/>
    <w:rsid w:val="00203CE2"/>
    <w:rsid w:val="00203F35"/>
    <w:rsid w:val="0021449A"/>
    <w:rsid w:val="00220051"/>
    <w:rsid w:val="00221B9F"/>
    <w:rsid w:val="00231D69"/>
    <w:rsid w:val="00231E99"/>
    <w:rsid w:val="0023671E"/>
    <w:rsid w:val="0024389C"/>
    <w:rsid w:val="0026104D"/>
    <w:rsid w:val="00264944"/>
    <w:rsid w:val="00270C80"/>
    <w:rsid w:val="00273083"/>
    <w:rsid w:val="0027555A"/>
    <w:rsid w:val="002765C3"/>
    <w:rsid w:val="002834D0"/>
    <w:rsid w:val="002940D2"/>
    <w:rsid w:val="002A24E3"/>
    <w:rsid w:val="002B1C85"/>
    <w:rsid w:val="002C2062"/>
    <w:rsid w:val="002C74B1"/>
    <w:rsid w:val="002C78D3"/>
    <w:rsid w:val="002D198D"/>
    <w:rsid w:val="002F7F5E"/>
    <w:rsid w:val="00326503"/>
    <w:rsid w:val="003349F5"/>
    <w:rsid w:val="003572D8"/>
    <w:rsid w:val="003B10CE"/>
    <w:rsid w:val="003D0775"/>
    <w:rsid w:val="003E1DEF"/>
    <w:rsid w:val="003E1F70"/>
    <w:rsid w:val="003E34B5"/>
    <w:rsid w:val="00421D90"/>
    <w:rsid w:val="00422A4D"/>
    <w:rsid w:val="00423C4F"/>
    <w:rsid w:val="00442270"/>
    <w:rsid w:val="00460F87"/>
    <w:rsid w:val="0046671E"/>
    <w:rsid w:val="00476C6D"/>
    <w:rsid w:val="00484DCF"/>
    <w:rsid w:val="004915D0"/>
    <w:rsid w:val="00497B1E"/>
    <w:rsid w:val="004B4A06"/>
    <w:rsid w:val="004C73B2"/>
    <w:rsid w:val="004D6168"/>
    <w:rsid w:val="004E2EA9"/>
    <w:rsid w:val="004F24A4"/>
    <w:rsid w:val="004F40D2"/>
    <w:rsid w:val="00502860"/>
    <w:rsid w:val="00514A68"/>
    <w:rsid w:val="00524354"/>
    <w:rsid w:val="00534FD3"/>
    <w:rsid w:val="00554BC0"/>
    <w:rsid w:val="00560A35"/>
    <w:rsid w:val="00567D71"/>
    <w:rsid w:val="0057450B"/>
    <w:rsid w:val="00586CDA"/>
    <w:rsid w:val="00586ECE"/>
    <w:rsid w:val="005903CB"/>
    <w:rsid w:val="00597848"/>
    <w:rsid w:val="005A2381"/>
    <w:rsid w:val="005A5E70"/>
    <w:rsid w:val="005D3D0A"/>
    <w:rsid w:val="005E5D83"/>
    <w:rsid w:val="005F00BB"/>
    <w:rsid w:val="0060636D"/>
    <w:rsid w:val="0061056E"/>
    <w:rsid w:val="00633719"/>
    <w:rsid w:val="00633E77"/>
    <w:rsid w:val="00656AC5"/>
    <w:rsid w:val="00656B36"/>
    <w:rsid w:val="0068064F"/>
    <w:rsid w:val="006847CD"/>
    <w:rsid w:val="006923FC"/>
    <w:rsid w:val="006A0016"/>
    <w:rsid w:val="006A6343"/>
    <w:rsid w:val="006B0DD9"/>
    <w:rsid w:val="006B23F7"/>
    <w:rsid w:val="006B558A"/>
    <w:rsid w:val="006E7DE5"/>
    <w:rsid w:val="006F7C74"/>
    <w:rsid w:val="007005EB"/>
    <w:rsid w:val="00704D01"/>
    <w:rsid w:val="00713239"/>
    <w:rsid w:val="007208E5"/>
    <w:rsid w:val="007245F1"/>
    <w:rsid w:val="007339B3"/>
    <w:rsid w:val="00744B87"/>
    <w:rsid w:val="00745228"/>
    <w:rsid w:val="0078683E"/>
    <w:rsid w:val="007918BA"/>
    <w:rsid w:val="00796071"/>
    <w:rsid w:val="00796F73"/>
    <w:rsid w:val="007B1CDB"/>
    <w:rsid w:val="007C39FE"/>
    <w:rsid w:val="007E2FAE"/>
    <w:rsid w:val="007F08C7"/>
    <w:rsid w:val="007F7EB9"/>
    <w:rsid w:val="00811F70"/>
    <w:rsid w:val="00821B74"/>
    <w:rsid w:val="00824753"/>
    <w:rsid w:val="008531D3"/>
    <w:rsid w:val="00853D48"/>
    <w:rsid w:val="00872A84"/>
    <w:rsid w:val="00885D66"/>
    <w:rsid w:val="008926DF"/>
    <w:rsid w:val="00893560"/>
    <w:rsid w:val="008A2BA5"/>
    <w:rsid w:val="008A6AB4"/>
    <w:rsid w:val="008B11FD"/>
    <w:rsid w:val="008B5CE2"/>
    <w:rsid w:val="008C37F3"/>
    <w:rsid w:val="008E37AB"/>
    <w:rsid w:val="008F18AE"/>
    <w:rsid w:val="008F1E68"/>
    <w:rsid w:val="008F7C2E"/>
    <w:rsid w:val="00905227"/>
    <w:rsid w:val="0091123A"/>
    <w:rsid w:val="00931AB8"/>
    <w:rsid w:val="009358B0"/>
    <w:rsid w:val="00944237"/>
    <w:rsid w:val="00953216"/>
    <w:rsid w:val="00967CA5"/>
    <w:rsid w:val="00971639"/>
    <w:rsid w:val="009874DC"/>
    <w:rsid w:val="0099285C"/>
    <w:rsid w:val="00992EAE"/>
    <w:rsid w:val="009F18CA"/>
    <w:rsid w:val="00A031BD"/>
    <w:rsid w:val="00A07BA7"/>
    <w:rsid w:val="00A13A33"/>
    <w:rsid w:val="00A2005E"/>
    <w:rsid w:val="00A204FD"/>
    <w:rsid w:val="00A22EC2"/>
    <w:rsid w:val="00A24AD0"/>
    <w:rsid w:val="00A30E2F"/>
    <w:rsid w:val="00A443CA"/>
    <w:rsid w:val="00A46EE9"/>
    <w:rsid w:val="00A50CF7"/>
    <w:rsid w:val="00A61FEE"/>
    <w:rsid w:val="00A63B5D"/>
    <w:rsid w:val="00A73C41"/>
    <w:rsid w:val="00A82BBB"/>
    <w:rsid w:val="00A8378F"/>
    <w:rsid w:val="00A93DA1"/>
    <w:rsid w:val="00AA0C51"/>
    <w:rsid w:val="00AB0982"/>
    <w:rsid w:val="00AB5D12"/>
    <w:rsid w:val="00AC5E67"/>
    <w:rsid w:val="00AC7648"/>
    <w:rsid w:val="00AD5781"/>
    <w:rsid w:val="00B03991"/>
    <w:rsid w:val="00B22B47"/>
    <w:rsid w:val="00B34885"/>
    <w:rsid w:val="00B46FCB"/>
    <w:rsid w:val="00B522E9"/>
    <w:rsid w:val="00B54BBE"/>
    <w:rsid w:val="00B7444F"/>
    <w:rsid w:val="00B7767F"/>
    <w:rsid w:val="00B84E15"/>
    <w:rsid w:val="00B868C7"/>
    <w:rsid w:val="00B871EF"/>
    <w:rsid w:val="00BB66EA"/>
    <w:rsid w:val="00BC412F"/>
    <w:rsid w:val="00BD5ACC"/>
    <w:rsid w:val="00C06237"/>
    <w:rsid w:val="00C14943"/>
    <w:rsid w:val="00C47AF9"/>
    <w:rsid w:val="00C52A3E"/>
    <w:rsid w:val="00C53E4C"/>
    <w:rsid w:val="00C63D7B"/>
    <w:rsid w:val="00C7507D"/>
    <w:rsid w:val="00C754E8"/>
    <w:rsid w:val="00CB55C7"/>
    <w:rsid w:val="00CD404A"/>
    <w:rsid w:val="00CE1D29"/>
    <w:rsid w:val="00CE223F"/>
    <w:rsid w:val="00CE682A"/>
    <w:rsid w:val="00CF2F1C"/>
    <w:rsid w:val="00CF32B7"/>
    <w:rsid w:val="00D02AE9"/>
    <w:rsid w:val="00D3B1D5"/>
    <w:rsid w:val="00D53B85"/>
    <w:rsid w:val="00D972D8"/>
    <w:rsid w:val="00DA0917"/>
    <w:rsid w:val="00DB5796"/>
    <w:rsid w:val="00DC30F1"/>
    <w:rsid w:val="00DD0064"/>
    <w:rsid w:val="00DD0C35"/>
    <w:rsid w:val="00DE641F"/>
    <w:rsid w:val="00DE6A86"/>
    <w:rsid w:val="00DF3678"/>
    <w:rsid w:val="00E2123B"/>
    <w:rsid w:val="00E340C6"/>
    <w:rsid w:val="00E37DE9"/>
    <w:rsid w:val="00E47800"/>
    <w:rsid w:val="00E54A68"/>
    <w:rsid w:val="00E60D7B"/>
    <w:rsid w:val="00E610D2"/>
    <w:rsid w:val="00E66250"/>
    <w:rsid w:val="00E66DED"/>
    <w:rsid w:val="00E757B7"/>
    <w:rsid w:val="00E854E7"/>
    <w:rsid w:val="00E93C4E"/>
    <w:rsid w:val="00E94547"/>
    <w:rsid w:val="00EA3F25"/>
    <w:rsid w:val="00EA4FAB"/>
    <w:rsid w:val="00EA5767"/>
    <w:rsid w:val="00EB0E47"/>
    <w:rsid w:val="00EC3EC7"/>
    <w:rsid w:val="00EF4EF9"/>
    <w:rsid w:val="00EF7CB5"/>
    <w:rsid w:val="00F03494"/>
    <w:rsid w:val="00F11186"/>
    <w:rsid w:val="00F13608"/>
    <w:rsid w:val="00F13DC8"/>
    <w:rsid w:val="00F3774E"/>
    <w:rsid w:val="00F42CA6"/>
    <w:rsid w:val="00F7003F"/>
    <w:rsid w:val="00F75F6C"/>
    <w:rsid w:val="00F804C2"/>
    <w:rsid w:val="00F82FBE"/>
    <w:rsid w:val="00F92234"/>
    <w:rsid w:val="00FB06F8"/>
    <w:rsid w:val="00FC55CC"/>
    <w:rsid w:val="00FC5A3C"/>
    <w:rsid w:val="00FC6A43"/>
    <w:rsid w:val="00FC7E3D"/>
    <w:rsid w:val="00FE6F91"/>
    <w:rsid w:val="00FE75CE"/>
    <w:rsid w:val="00FF2461"/>
    <w:rsid w:val="0150D775"/>
    <w:rsid w:val="02606789"/>
    <w:rsid w:val="0456A219"/>
    <w:rsid w:val="0819134D"/>
    <w:rsid w:val="08B3BB23"/>
    <w:rsid w:val="096B54C8"/>
    <w:rsid w:val="0C1F276D"/>
    <w:rsid w:val="0C2CF397"/>
    <w:rsid w:val="0E77ACDF"/>
    <w:rsid w:val="0FF7DFAF"/>
    <w:rsid w:val="11B92DEA"/>
    <w:rsid w:val="1341D9CA"/>
    <w:rsid w:val="14D4447E"/>
    <w:rsid w:val="1521B8E5"/>
    <w:rsid w:val="15732448"/>
    <w:rsid w:val="17E435C9"/>
    <w:rsid w:val="18B5D30F"/>
    <w:rsid w:val="19F2884C"/>
    <w:rsid w:val="1AAC4342"/>
    <w:rsid w:val="1CB1FEA9"/>
    <w:rsid w:val="1D5A0A4C"/>
    <w:rsid w:val="1F4776BF"/>
    <w:rsid w:val="1FC7F21F"/>
    <w:rsid w:val="1FFA5130"/>
    <w:rsid w:val="22E1E84C"/>
    <w:rsid w:val="230E35A6"/>
    <w:rsid w:val="251C9F51"/>
    <w:rsid w:val="253887B4"/>
    <w:rsid w:val="27306B4B"/>
    <w:rsid w:val="2748FE1C"/>
    <w:rsid w:val="2807FA11"/>
    <w:rsid w:val="2818EB8B"/>
    <w:rsid w:val="2939BAEF"/>
    <w:rsid w:val="29E1E5F0"/>
    <w:rsid w:val="2BBD0650"/>
    <w:rsid w:val="2CDE5701"/>
    <w:rsid w:val="30C68E9C"/>
    <w:rsid w:val="323AE4EA"/>
    <w:rsid w:val="3515B30D"/>
    <w:rsid w:val="3602334B"/>
    <w:rsid w:val="3647D6CB"/>
    <w:rsid w:val="36D1EC46"/>
    <w:rsid w:val="36F4CA8B"/>
    <w:rsid w:val="39B3A35D"/>
    <w:rsid w:val="3A8ABBFE"/>
    <w:rsid w:val="3B8C9229"/>
    <w:rsid w:val="3D0D3F9B"/>
    <w:rsid w:val="418B1E5C"/>
    <w:rsid w:val="41E497E7"/>
    <w:rsid w:val="42597E50"/>
    <w:rsid w:val="43044A8B"/>
    <w:rsid w:val="458F9873"/>
    <w:rsid w:val="45A92641"/>
    <w:rsid w:val="46081381"/>
    <w:rsid w:val="484574B5"/>
    <w:rsid w:val="4949D400"/>
    <w:rsid w:val="4B13CAA0"/>
    <w:rsid w:val="4B90F25D"/>
    <w:rsid w:val="4DFDE0F5"/>
    <w:rsid w:val="4E2FF10E"/>
    <w:rsid w:val="4F31E183"/>
    <w:rsid w:val="50AF5596"/>
    <w:rsid w:val="516FCBD4"/>
    <w:rsid w:val="53568E6E"/>
    <w:rsid w:val="5452BFB3"/>
    <w:rsid w:val="54D92331"/>
    <w:rsid w:val="54F41BF9"/>
    <w:rsid w:val="578A6990"/>
    <w:rsid w:val="583DC8C6"/>
    <w:rsid w:val="588B4727"/>
    <w:rsid w:val="5B430C92"/>
    <w:rsid w:val="5C4E39E6"/>
    <w:rsid w:val="5CA08444"/>
    <w:rsid w:val="5D3AF4B6"/>
    <w:rsid w:val="5D8DB2BB"/>
    <w:rsid w:val="60FF1190"/>
    <w:rsid w:val="6123F292"/>
    <w:rsid w:val="61F73F11"/>
    <w:rsid w:val="628ED88D"/>
    <w:rsid w:val="64D03672"/>
    <w:rsid w:val="664297F4"/>
    <w:rsid w:val="66A0EDE2"/>
    <w:rsid w:val="66E5E3BA"/>
    <w:rsid w:val="67660313"/>
    <w:rsid w:val="69F37547"/>
    <w:rsid w:val="6AFBB84F"/>
    <w:rsid w:val="6C3EDA5B"/>
    <w:rsid w:val="6C91792A"/>
    <w:rsid w:val="6D8186DC"/>
    <w:rsid w:val="6E1BFB9C"/>
    <w:rsid w:val="6E7E69B6"/>
    <w:rsid w:val="6FBF8E67"/>
    <w:rsid w:val="7208EB3F"/>
    <w:rsid w:val="72897FC0"/>
    <w:rsid w:val="748E61AE"/>
    <w:rsid w:val="7562E9CA"/>
    <w:rsid w:val="76E4C2B7"/>
    <w:rsid w:val="78DDABDF"/>
    <w:rsid w:val="79F4FAE8"/>
    <w:rsid w:val="7A026983"/>
    <w:rsid w:val="7BF3B40B"/>
    <w:rsid w:val="7EE38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255B78"/>
  <w15:chartTrackingRefBased/>
  <w15:docId w15:val="{CCB9BD48-F1A9-412B-B7BD-D6A8C7858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D48"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3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D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D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D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D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D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D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D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53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853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D48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853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D48"/>
    <w:pPr>
      <w:ind w:left="720"/>
      <w:contextualSpacing/>
    </w:pPr>
    <w:rPr>
      <w:lang w:val="en-US"/>
    </w:rPr>
  </w:style>
  <w:style w:type="character" w:styleId="IntenseEmphasis">
    <w:name w:val="Intense Emphasis"/>
    <w:basedOn w:val="DefaultParagraphFont"/>
    <w:uiPriority w:val="21"/>
    <w:qFormat/>
    <w:rsid w:val="00853D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D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D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D4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3D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D48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853D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D48"/>
    <w:rPr>
      <w:lang w:val="en-AU"/>
    </w:rPr>
  </w:style>
  <w:style w:type="paragraph" w:styleId="Revision">
    <w:name w:val="Revision"/>
    <w:hidden/>
    <w:uiPriority w:val="99"/>
    <w:semiHidden/>
    <w:rsid w:val="003E34B5"/>
    <w:pPr>
      <w:spacing w:after="0" w:line="240" w:lineRule="auto"/>
    </w:pPr>
    <w:rPr>
      <w:lang w:val="en-AU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8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848"/>
    <w:rPr>
      <w:b/>
      <w:bCs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5978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7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f86e3e-1e01-4781-b2c1-8f6f9ce39bba" xsi:nil="true"/>
    <lcf76f155ced4ddcb4097134ff3c332f xmlns="8f7e922f-a535-42ea-a88a-d2aeb4da580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F1C8DE1F14EA408AB32AAE07B531EF" ma:contentTypeVersion="12" ma:contentTypeDescription="Create a new document." ma:contentTypeScope="" ma:versionID="681109b2aaf9d095517a43f6c149f5bd">
  <xsd:schema xmlns:xsd="http://www.w3.org/2001/XMLSchema" xmlns:xs="http://www.w3.org/2001/XMLSchema" xmlns:p="http://schemas.microsoft.com/office/2006/metadata/properties" xmlns:ns2="8f7e922f-a535-42ea-a88a-d2aeb4da5804" xmlns:ns3="dbf86e3e-1e01-4781-b2c1-8f6f9ce39bba" targetNamespace="http://schemas.microsoft.com/office/2006/metadata/properties" ma:root="true" ma:fieldsID="224325e354eca70ed3c8ce76c162b722" ns2:_="" ns3:_="">
    <xsd:import namespace="8f7e922f-a535-42ea-a88a-d2aeb4da5804"/>
    <xsd:import namespace="dbf86e3e-1e01-4781-b2c1-8f6f9ce39b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e922f-a535-42ea-a88a-d2aeb4da58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d2fa76-d9ac-436b-9ac7-bc345fdc3f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86e3e-1e01-4781-b2c1-8f6f9ce39b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477c12-cecd-49fd-9da9-99cc1866cae1}" ma:internalName="TaxCatchAll" ma:showField="CatchAllData" ma:web="dbf86e3e-1e01-4781-b2c1-8f6f9ce39b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AC9C2E-4F83-45F5-A831-8D8034DB9C46}">
  <ds:schemaRefs>
    <ds:schemaRef ds:uri="http://schemas.microsoft.com/office/2006/metadata/properties"/>
    <ds:schemaRef ds:uri="0690cd32-43b1-4c04-bd78-98652a6db61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a2aba84a-5243-4655-85a0-28393f8c71f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845B3A5-D12A-433B-8655-93CD94359C35}"/>
</file>

<file path=customXml/itemProps3.xml><?xml version="1.0" encoding="utf-8"?>
<ds:datastoreItem xmlns:ds="http://schemas.openxmlformats.org/officeDocument/2006/customXml" ds:itemID="{115E4235-32C5-40B7-88D1-0AE433D0BEA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b7f23b3-0e83-47a5-8a40-ffa8a6fea536}" enabled="0" method="" siteId="{9b7f23b3-0e83-47a5-8a40-ffa8a6fea5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506</Words>
  <Characters>3068</Characters>
  <Application>Microsoft Office Word</Application>
  <DocSecurity>0</DocSecurity>
  <Lines>79</Lines>
  <Paragraphs>25</Paragraphs>
  <ScaleCrop>false</ScaleCrop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Brunnemer</dc:creator>
  <cp:keywords>[SEC=OFFICIAL]</cp:keywords>
  <dc:description/>
  <cp:lastModifiedBy>Thuy Brunnemer</cp:lastModifiedBy>
  <cp:revision>3</cp:revision>
  <cp:lastPrinted>2026-03-13T06:39:00Z</cp:lastPrinted>
  <dcterms:created xsi:type="dcterms:W3CDTF">2026-03-25T09:22:00Z</dcterms:created>
  <dcterms:modified xsi:type="dcterms:W3CDTF">2026-03-25T09:30:00Z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Caveats_Count">
    <vt:lpwstr>0</vt:lpwstr>
  </property>
  <property fmtid="{D5CDD505-2E9C-101B-9397-08002B2CF9AE}" pid="3" name="PM_Namespace">
    <vt:lpwstr>gov.au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v=2022.1;a=SHA256;h=D73D463EDF6BD92BB5408B3E6E55E432E51B7581C0EC15D3A754087872DE4746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2026-03-05T09:53:44Z</vt:lpwstr>
  </property>
  <property fmtid="{D5CDD505-2E9C-101B-9397-08002B2CF9AE}" pid="11" name="PM_DownTo">
    <vt:lpwstr/>
  </property>
  <property fmtid="{D5CDD505-2E9C-101B-9397-08002B2CF9AE}" pid="12" name="PM_Markers">
    <vt:lpwstr/>
  </property>
  <property fmtid="{D5CDD505-2E9C-101B-9397-08002B2CF9AE}" pid="13" name="PM_DisplayValueSecClassificationWithQualifier">
    <vt:lpwstr>OFFICIAL</vt:lpwstr>
  </property>
  <property fmtid="{D5CDD505-2E9C-101B-9397-08002B2CF9AE}" pid="14" name="PM_Expires">
    <vt:lpwstr/>
  </property>
  <property fmtid="{D5CDD505-2E9C-101B-9397-08002B2CF9AE}" pid="15" name="PM_InsertionValue">
    <vt:lpwstr>OFFICIAL</vt:lpwstr>
  </property>
  <property fmtid="{D5CDD505-2E9C-101B-9397-08002B2CF9AE}" pid="16" name="PM_Originator_Hash_SHA1">
    <vt:lpwstr>E3C976A60562AE7AD1FFA0C353DD8E16C8AA21CF</vt:lpwstr>
  </property>
  <property fmtid="{D5CDD505-2E9C-101B-9397-08002B2CF9AE}" pid="17" name="PM_Originating_FileId">
    <vt:lpwstr>5843077AD40F4ECF85E6A8BBC4F2CFCB</vt:lpwstr>
  </property>
  <property fmtid="{D5CDD505-2E9C-101B-9397-08002B2CF9AE}" pid="18" name="PM_ProtectiveMarkingValue_Footer">
    <vt:lpwstr>OFFICIAL</vt:lpwstr>
  </property>
  <property fmtid="{D5CDD505-2E9C-101B-9397-08002B2CF9AE}" pid="19" name="PM_Display">
    <vt:lpwstr>OFFICIAL</vt:lpwstr>
  </property>
  <property fmtid="{D5CDD505-2E9C-101B-9397-08002B2CF9AE}" pid="20" name="PM_OriginatorUserAccountName_SHA256">
    <vt:lpwstr>BF109E7F9125545ECAB06C626AF86DDCB9472A9C59321073216606E134CC9793</vt:lpwstr>
  </property>
  <property fmtid="{D5CDD505-2E9C-101B-9397-08002B2CF9AE}" pid="21" name="PM_OriginatorDomainName_SHA256">
    <vt:lpwstr>6F3591835F3B2A8A025B00B5BA6418010DA3A17C9C26EA9C049FFD28039489A2</vt:lpwstr>
  </property>
  <property fmtid="{D5CDD505-2E9C-101B-9397-08002B2CF9AE}" pid="22" name="PMUuid">
    <vt:lpwstr>v=2022.2;d=gov.au;g=46DD6D7C-8107-577B-BC6E-F348953B2E44</vt:lpwstr>
  </property>
  <property fmtid="{D5CDD505-2E9C-101B-9397-08002B2CF9AE}" pid="23" name="PM_Hash_Version">
    <vt:lpwstr>2022.1</vt:lpwstr>
  </property>
  <property fmtid="{D5CDD505-2E9C-101B-9397-08002B2CF9AE}" pid="24" name="PM_Hash_Salt_Prev">
    <vt:lpwstr>619CEB6368804D498E582569FD6B6C31</vt:lpwstr>
  </property>
  <property fmtid="{D5CDD505-2E9C-101B-9397-08002B2CF9AE}" pid="25" name="PM_Hash_Salt">
    <vt:lpwstr>A6A60309A583A3A185E63FFFE9785989</vt:lpwstr>
  </property>
  <property fmtid="{D5CDD505-2E9C-101B-9397-08002B2CF9AE}" pid="26" name="PM_Hash_SHA1">
    <vt:lpwstr>801AE53E35DBD62E06071016D17172591F3BFAF1</vt:lpwstr>
  </property>
  <property fmtid="{D5CDD505-2E9C-101B-9397-08002B2CF9AE}" pid="27" name="PM_SecurityClassification_Prev">
    <vt:lpwstr>OFFICIAL</vt:lpwstr>
  </property>
  <property fmtid="{D5CDD505-2E9C-101B-9397-08002B2CF9AE}" pid="28" name="PM_Qualifier_Prev">
    <vt:lpwstr/>
  </property>
  <property fmtid="{D5CDD505-2E9C-101B-9397-08002B2CF9AE}" pid="29" name="ContentTypeId">
    <vt:lpwstr>0x010100B7F1C8DE1F14EA408AB32AAE07B531EF</vt:lpwstr>
  </property>
  <property fmtid="{D5CDD505-2E9C-101B-9397-08002B2CF9AE}" pid="30" name="MediaServiceImageTags">
    <vt:lpwstr/>
  </property>
</Properties>
</file>